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0878" w14:textId="2C5E9010" w:rsidR="00965F7F" w:rsidRDefault="00965F7F" w:rsidP="00965F7F">
      <w:pPr>
        <w:spacing w:before="240" w:after="24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1"/>
          <w:szCs w:val="21"/>
        </w:rPr>
        <w:t>S1 Table</w:t>
      </w:r>
      <w:r>
        <w:rPr>
          <w:rFonts w:ascii="Arial" w:eastAsia="Arial" w:hAnsi="Arial" w:cs="Arial"/>
          <w:color w:val="000000"/>
          <w:sz w:val="21"/>
          <w:szCs w:val="21"/>
        </w:rPr>
        <w:t>. Bioinformatic databases</w:t>
      </w:r>
    </w:p>
    <w:tbl>
      <w:tblPr>
        <w:tblW w:w="9360" w:type="dxa"/>
        <w:jc w:val="center"/>
        <w:tblLayout w:type="fixed"/>
        <w:tblLook w:val="0400" w:firstRow="0" w:lastRow="0" w:firstColumn="0" w:lastColumn="0" w:noHBand="0" w:noVBand="1"/>
      </w:tblPr>
      <w:tblGrid>
        <w:gridCol w:w="3106"/>
        <w:gridCol w:w="2641"/>
        <w:gridCol w:w="3613"/>
      </w:tblGrid>
      <w:tr w:rsidR="00965F7F" w14:paraId="284D55D0" w14:textId="77777777" w:rsidTr="00D20876">
        <w:trPr>
          <w:trHeight w:val="590"/>
          <w:jc w:val="center"/>
        </w:trPr>
        <w:tc>
          <w:tcPr>
            <w:tcW w:w="3106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8CED1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Bioinformatic Database</w:t>
            </w:r>
          </w:p>
        </w:tc>
        <w:tc>
          <w:tcPr>
            <w:tcW w:w="2641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2FEFE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3613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D32A9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URL</w:t>
            </w:r>
          </w:p>
        </w:tc>
      </w:tr>
      <w:tr w:rsidR="00965F7F" w14:paraId="4D21AEAC" w14:textId="77777777" w:rsidTr="00D20876">
        <w:trPr>
          <w:trHeight w:val="635"/>
          <w:jc w:val="center"/>
        </w:trPr>
        <w:tc>
          <w:tcPr>
            <w:tcW w:w="3106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1CCED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PATRIC (currently incorporated in BV-BCR)</w:t>
            </w:r>
          </w:p>
        </w:tc>
        <w:tc>
          <w:tcPr>
            <w:tcW w:w="2641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F7B10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Prokaryotes</w:t>
            </w:r>
          </w:p>
        </w:tc>
        <w:tc>
          <w:tcPr>
            <w:tcW w:w="3613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0DBEC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https://www.bv-brc.org/</w:t>
              </w:r>
            </w:hyperlink>
          </w:p>
        </w:tc>
      </w:tr>
      <w:tr w:rsidR="00965F7F" w14:paraId="51403313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6D055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ViPR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(currently incorporated in BV-BCR)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30A2B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A03CA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5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https://www.bv-brc.org/</w:t>
              </w:r>
            </w:hyperlink>
          </w:p>
        </w:tc>
      </w:tr>
      <w:tr w:rsidR="00965F7F" w14:paraId="70CE2CBC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43FD0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IRD (currently incorporated in BV-BCR)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0D539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0AA32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6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https://www.bv-brc.org/</w:t>
              </w:r>
            </w:hyperlink>
          </w:p>
        </w:tc>
      </w:tr>
      <w:tr w:rsidR="00965F7F" w14:paraId="598ADAE7" w14:textId="77777777" w:rsidTr="00D20876">
        <w:trPr>
          <w:trHeight w:val="590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720B5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BV-BCR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E95B3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Prokaryotes and 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1B49F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7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https://www.bv-brc.org/</w:t>
              </w:r>
            </w:hyperlink>
          </w:p>
        </w:tc>
      </w:tr>
      <w:tr w:rsidR="00965F7F" w14:paraId="6D5BEB36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CB107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NCBI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02AFD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Prokaryotes, eukaryotes, and 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E16C3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8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https://www.ncbi.nlm.nih.gov/</w:t>
              </w:r>
            </w:hyperlink>
          </w:p>
        </w:tc>
      </w:tr>
      <w:tr w:rsidR="00965F7F" w14:paraId="1A5EFDE9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B758B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94A50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Prokaryotes, eukaryotes, and 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4996E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https://www.ncbi.nlm.nih.gov/genbank/</w:t>
            </w:r>
          </w:p>
        </w:tc>
      </w:tr>
      <w:tr w:rsidR="00965F7F" w14:paraId="6AA10227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F8B2B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RefSeq</w:t>
            </w:r>
            <w:proofErr w:type="spellEnd"/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ABAF4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Prokaryotes,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eukaryotes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and 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2DD4F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9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https://www.ncbi.nlm.nih.gov/refseq/</w:t>
              </w:r>
            </w:hyperlink>
          </w:p>
        </w:tc>
      </w:tr>
      <w:tr w:rsidR="00965F7F" w14:paraId="593FEE33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C8615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KEGG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0AD64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Eukaryotes, prokaryotes, and 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8C666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10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https://www.genome.jp/kegg/</w:t>
              </w:r>
            </w:hyperlink>
          </w:p>
        </w:tc>
      </w:tr>
      <w:tr w:rsidR="00965F7F" w14:paraId="4EA8B8CF" w14:textId="77777777" w:rsidTr="00D20876">
        <w:trPr>
          <w:trHeight w:val="635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20EBF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BioCyc</w:t>
            </w:r>
            <w:proofErr w:type="spellEnd"/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C5E4C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Eukaryotes, prokaryotes, and viruses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A6A31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11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https://biocyc.org/</w:t>
              </w:r>
            </w:hyperlink>
          </w:p>
        </w:tc>
      </w:tr>
      <w:tr w:rsidR="00965F7F" w14:paraId="2830000D" w14:textId="77777777" w:rsidTr="00D20876">
        <w:trPr>
          <w:trHeight w:val="590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6C354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UniProt</w:t>
            </w:r>
            <w:proofErr w:type="spellEnd"/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03719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Single proteins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E7BCB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12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https://www.uniprot.org/</w:t>
              </w:r>
            </w:hyperlink>
          </w:p>
        </w:tc>
      </w:tr>
      <w:tr w:rsidR="00965F7F" w14:paraId="1EC40E9E" w14:textId="77777777" w:rsidTr="00D20876">
        <w:trPr>
          <w:trHeight w:val="590"/>
          <w:jc w:val="center"/>
        </w:trPr>
        <w:tc>
          <w:tcPr>
            <w:tcW w:w="310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EBC60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BRENDA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D9DEC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Single proteins</w:t>
            </w:r>
          </w:p>
        </w:tc>
        <w:tc>
          <w:tcPr>
            <w:tcW w:w="36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0218E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13">
              <w:r>
                <w:rPr>
                  <w:rFonts w:ascii="Arial" w:eastAsia="Arial" w:hAnsi="Arial" w:cs="Arial"/>
                  <w:color w:val="000000"/>
                  <w:sz w:val="20"/>
                  <w:szCs w:val="20"/>
                  <w:u w:val="single"/>
                </w:rPr>
                <w:t>https://www.brenda-enzymes.org/</w:t>
              </w:r>
            </w:hyperlink>
          </w:p>
        </w:tc>
      </w:tr>
      <w:tr w:rsidR="00965F7F" w14:paraId="6C3D7DD3" w14:textId="77777777" w:rsidTr="00D20876">
        <w:trPr>
          <w:trHeight w:val="590"/>
          <w:jc w:val="center"/>
        </w:trPr>
        <w:tc>
          <w:tcPr>
            <w:tcW w:w="3106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1888E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PDB</w:t>
            </w:r>
          </w:p>
        </w:tc>
        <w:tc>
          <w:tcPr>
            <w:tcW w:w="2641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0A287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Single proteins</w:t>
            </w:r>
          </w:p>
        </w:tc>
        <w:tc>
          <w:tcPr>
            <w:tcW w:w="3613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7E0F3" w14:textId="77777777" w:rsidR="00965F7F" w:rsidRDefault="00965F7F" w:rsidP="00D20876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https://www.rcsb.org/</w:t>
            </w:r>
          </w:p>
        </w:tc>
      </w:tr>
    </w:tbl>
    <w:p w14:paraId="36EE564C" w14:textId="77777777" w:rsidR="00B13F5B" w:rsidRDefault="00B13F5B"/>
    <w:sectPr w:rsidR="00B13F5B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NjY1MLE0NDE0MzRX0lEKTi0uzszPAykwrAUApLC5YCwAAAA="/>
  </w:docVars>
  <w:rsids>
    <w:rsidRoot w:val="00965F7F"/>
    <w:rsid w:val="00620547"/>
    <w:rsid w:val="00965F7F"/>
    <w:rsid w:val="00B1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742F1"/>
  <w15:chartTrackingRefBased/>
  <w15:docId w15:val="{76C1E324-8B54-47B3-9106-A3DDCB79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F7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" TargetMode="External"/><Relationship Id="rId13" Type="http://schemas.openxmlformats.org/officeDocument/2006/relationships/hyperlink" Target="https://www.brenda-enzymes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v-brc.org/" TargetMode="External"/><Relationship Id="rId12" Type="http://schemas.openxmlformats.org/officeDocument/2006/relationships/hyperlink" Target="https://www.uniprot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v-brc.org/" TargetMode="External"/><Relationship Id="rId11" Type="http://schemas.openxmlformats.org/officeDocument/2006/relationships/hyperlink" Target="https://biocyc.org/" TargetMode="External"/><Relationship Id="rId5" Type="http://schemas.openxmlformats.org/officeDocument/2006/relationships/hyperlink" Target="https://www.bv-brc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enome.jp/kegg/" TargetMode="External"/><Relationship Id="rId4" Type="http://schemas.openxmlformats.org/officeDocument/2006/relationships/hyperlink" Target="https://www.bv-brc.org/" TargetMode="External"/><Relationship Id="rId9" Type="http://schemas.openxmlformats.org/officeDocument/2006/relationships/hyperlink" Target="https://www.ncbi.nlm.nih.gov/refseq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David Tibocha Bonilla</dc:creator>
  <cp:keywords/>
  <dc:description/>
  <cp:lastModifiedBy>Juan David Tibocha Bonilla</cp:lastModifiedBy>
  <cp:revision>1</cp:revision>
  <dcterms:created xsi:type="dcterms:W3CDTF">2023-09-11T19:18:00Z</dcterms:created>
  <dcterms:modified xsi:type="dcterms:W3CDTF">2023-09-11T19:20:00Z</dcterms:modified>
</cp:coreProperties>
</file>